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Beschluss zur Änderung des Umlageschlüssels</w:t>
      </w:r>
    </w:p>
    <w:p>
      <w:pPr>
        <w:spacing w:after="320"/>
      </w:pPr>
      <w:r>
        <w:rPr>
          <w:i/>
          <w:color w:val="555555"/>
        </w:rPr>
        <w:t xml:space="preserve">Muster für einen Mehrheitsbeschluss nach § 16 Abs. 2 Satz 2 WEG: neuer Verteilungsschlüssel für bestimmte Kosten, nur für die Zukunft, mit Anlage der Verteilungswerte.</w:t>
      </w:r>
    </w:p>
    <w:p>
      <w:r>
        <w:t xml:space="preserve">Wohnungseigentümergemeinschaft </w:t>
      </w:r>
      <w:r>
        <w:rPr>
          <w:highlight w:val="yellow"/>
        </w:rPr>
        <w:t xml:space="preserve">[Straße Hausnummer, PLZ Ort]</w:t>
      </w:r>
    </w:p>
    <w:p>
      <w:pPr>
        <w:spacing w:before="240" w:after="120"/>
      </w:pPr>
      <w:r>
        <w:rPr>
          <w:b/>
          <w:sz w:val="24"/>
        </w:rPr>
        <w:t xml:space="preserve">Tagesordnungspunkt </w:t>
      </w:r>
      <w:r>
        <w:rPr>
          <w:b/>
          <w:highlight w:val="yellow"/>
          <w:sz w:val="24"/>
        </w:rPr>
        <w:t xml:space="preserve">[Nummer]</w:t>
      </w:r>
      <w:r>
        <w:rPr>
          <w:b/>
          <w:sz w:val="24"/>
        </w:rPr>
        <w:t xml:space="preserve">: Änderung der Kostenverteilung für </w:t>
      </w:r>
      <w:r>
        <w:rPr>
          <w:b/>
          <w:highlight w:val="yellow"/>
          <w:sz w:val="24"/>
        </w:rPr>
        <w:t xml:space="preserve">[Kostenart]</w:t>
      </w:r>
    </w:p>
    <w:p>
      <w:pPr>
        <w:spacing w:before="240" w:after="120"/>
      </w:pPr>
      <w:r>
        <w:rPr>
          <w:b/>
          <w:sz w:val="24"/>
        </w:rPr>
        <w:t xml:space="preserve">Beschlusstext</w:t>
      </w:r>
    </w:p>
    <w:p>
      <w:pPr>
        <w:tabs>
          <w:tab w:val="left" w:pos="426"/>
        </w:tabs>
        <w:ind w:left="426" w:hanging="426"/>
        <w:spacing w:after="60"/>
      </w:pPr>
      <w:r>
        <w:t xml:space="preserve">1.	</w:t>
      </w:r>
      <w:r>
        <w:t xml:space="preserve">Die Wohnungseigentümer beschließen gemäß § 16 Abs. 2 Satz 2 WEG: Die Kosten für </w:t>
      </w:r>
      <w:r>
        <w:rPr>
          <w:highlight w:val="yellow"/>
        </w:rPr>
        <w:t xml:space="preserve">[Kostenart, genau bezeichnet, z. B. Allgemeinstrom und Treppenhausreinigung]</w:t>
      </w:r>
      <w:r>
        <w:t xml:space="preserve"> werden nicht mehr nach </w:t>
      </w:r>
      <w:r>
        <w:rPr>
          <w:highlight w:val="yellow"/>
        </w:rPr>
        <w:t xml:space="preserve">[bisheriger Schlüssel, z. B. Miteigentumsanteilen]</w:t>
      </w:r>
      <w:r>
        <w:t xml:space="preserve">, sondern nach </w:t>
      </w:r>
      <w:r>
        <w:rPr>
          <w:highlight w:val="yellow"/>
        </w:rPr>
        <w:t xml:space="preserve">[neuer Schlüssel, z. B. Wohnfläche]</w:t>
      </w:r>
      <w:r>
        <w:t xml:space="preserve"> auf die Wohnungseigentümer verteilt.</w:t>
      </w:r>
    </w:p>
    <w:p>
      <w:pPr>
        <w:tabs>
          <w:tab w:val="left" w:pos="426"/>
        </w:tabs>
        <w:ind w:left="426" w:hanging="426"/>
        <w:spacing w:after="60"/>
      </w:pPr>
      <w:r>
        <w:t xml:space="preserve">2.	</w:t>
      </w:r>
      <w:r>
        <w:t xml:space="preserve">Damit weicht die Gemeinschaft für diese Kosten von </w:t>
      </w:r>
      <w:r>
        <w:rPr>
          <w:highlight w:val="yellow"/>
        </w:rPr>
        <w:t xml:space="preserve">[§ 16 Abs. 2 Satz 1 WEG / § Nummer der Gemeinschaftsordnung / dem Beschluss vom Datum]</w:t>
      </w:r>
      <w:r>
        <w:t xml:space="preserve"> ab. Für alle übrigen Kosten bleibt es bei der bisherigen Verteilung.</w:t>
      </w:r>
    </w:p>
    <w:p>
      <w:pPr>
        <w:tabs>
          <w:tab w:val="left" w:pos="426"/>
        </w:tabs>
        <w:ind w:left="426" w:hanging="426"/>
        <w:spacing w:after="60"/>
      </w:pPr>
      <w:r>
        <w:t xml:space="preserve">3.	</w:t>
      </w:r>
      <w:r>
        <w:t xml:space="preserve">Maßgeblich sind die Werte je Einheit aus der Anlage, die Bestandteil dieses Beschlusses ist.</w:t>
      </w:r>
    </w:p>
    <w:p>
      <w:pPr>
        <w:tabs>
          <w:tab w:val="left" w:pos="426"/>
        </w:tabs>
        <w:ind w:left="426" w:hanging="426"/>
        <w:spacing w:after="60"/>
      </w:pPr>
      <w:r>
        <w:t xml:space="preserve">4.	</w:t>
      </w:r>
      <w:r>
        <w:t xml:space="preserve">Die neue Verteilung gilt ab dem Wirtschaftsjahr </w:t>
      </w:r>
      <w:r>
        <w:rPr>
          <w:highlight w:val="yellow"/>
        </w:rPr>
        <w:t xml:space="preserve">[Jahr]</w:t>
      </w:r>
      <w:r>
        <w:t xml:space="preserve">, erstmals im Wirtschaftsplan und in der Jahresabrechnung für dieses Jahr. Abgeschlossene Abrechnungszeiträume werden nicht neu verteilt.</w:t>
      </w:r>
    </w:p>
    <w:p>
      <w:pPr>
        <w:spacing w:before="240" w:after="120"/>
      </w:pPr>
      <w:r>
        <w:rPr>
          <w:b/>
          <w:sz w:val="24"/>
        </w:rPr>
        <w:t xml:space="preserve">Begründung</w:t>
      </w:r>
    </w:p>
    <w:p>
      <w:r>
        <w:rPr>
          <w:highlight w:val="yellow"/>
        </w:rPr>
        <w:t xml:space="preserve">[Warum der neue Schlüssel sachgerechter ist, z. B. weil die Kosten vom Verbrauch oder von der Zahl der Wohnungen abhängen oder weil nur bestimmte Einheiten die Anlage nutzen können]</w:t>
      </w:r>
    </w:p>
    <w:p>
      <w:pPr>
        <w:spacing w:before="240" w:after="120"/>
      </w:pPr>
      <w:r>
        <w:rPr>
          <w:b/>
          <w:sz w:val="24"/>
        </w:rPr>
        <w:t xml:space="preserve">Anlage: Verteilungswerte nach </w:t>
      </w:r>
      <w:r>
        <w:rPr>
          <w:b/>
          <w:highlight w:val="yellow"/>
          <w:sz w:val="24"/>
        </w:rPr>
        <w:t xml:space="preserve">[neuer Schlüssel]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Einheit </w:t>
      </w:r>
      <w:r>
        <w:rPr>
          <w:highlight w:val="yellow"/>
        </w:rPr>
        <w:t xml:space="preserve">[Nummer]</w:t>
      </w:r>
      <w:r>
        <w:t xml:space="preserve">, </w:t>
      </w:r>
      <w:r>
        <w:rPr>
          <w:highlight w:val="yellow"/>
        </w:rPr>
        <w:t xml:space="preserve">[Name]</w:t>
      </w:r>
      <w:r>
        <w:t xml:space="preserve">: </w:t>
      </w:r>
      <w:r>
        <w:rPr>
          <w:highlight w:val="yellow"/>
        </w:rPr>
        <w:t xml:space="preserve">[Wert, z. B. 72,5 m² Wohnfläche]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Einheit </w:t>
      </w:r>
      <w:r>
        <w:rPr>
          <w:highlight w:val="yellow"/>
        </w:rPr>
        <w:t xml:space="preserve">[Nummer]</w:t>
      </w:r>
      <w:r>
        <w:t xml:space="preserve">, </w:t>
      </w:r>
      <w:r>
        <w:rPr>
          <w:highlight w:val="yellow"/>
        </w:rPr>
        <w:t xml:space="preserve">[Name]</w:t>
      </w:r>
      <w:r>
        <w:t xml:space="preserve">: </w:t>
      </w:r>
      <w:r>
        <w:rPr>
          <w:highlight w:val="yellow"/>
        </w:rPr>
        <w:t xml:space="preserve">[Wert]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Einheit </w:t>
      </w:r>
      <w:r>
        <w:rPr>
          <w:highlight w:val="yellow"/>
        </w:rPr>
        <w:t xml:space="preserve">[Nummer]</w:t>
      </w:r>
      <w:r>
        <w:t xml:space="preserve">, </w:t>
      </w:r>
      <w:r>
        <w:rPr>
          <w:highlight w:val="yellow"/>
        </w:rPr>
        <w:t xml:space="preserve">[Name]</w:t>
      </w:r>
      <w:r>
        <w:t xml:space="preserve">: </w:t>
      </w:r>
      <w:r>
        <w:rPr>
          <w:highlight w:val="yellow"/>
        </w:rPr>
        <w:t xml:space="preserve">[Wert]</w:t>
      </w:r>
    </w:p>
    <w:p>
      <w:r>
        <w:t xml:space="preserve">Summe: </w:t>
      </w:r>
      <w:r>
        <w:rPr>
          <w:highlight w:val="yellow"/>
        </w:rPr>
        <w:t xml:space="preserve">[Gesamtwert]</w:t>
      </w:r>
      <w:r>
        <w:br/>
      </w:r>
      <w:r>
        <w:t xml:space="preserve">Grundlage der Werte: </w:t>
      </w:r>
      <w:r>
        <w:rPr>
          <w:highlight w:val="yellow"/>
        </w:rPr>
        <w:t xml:space="preserve">[z. B. Wohnflächenberechnung vom Datum, Aufteilungsplan, Zählerliste]</w:t>
      </w:r>
    </w:p>
    <w:p>
      <w:pPr>
        <w:spacing w:before="240" w:after="120"/>
      </w:pPr>
      <w:r>
        <w:rPr>
          <w:b/>
          <w:sz w:val="24"/>
        </w:rPr>
        <w:t xml:space="preserve">Variante für Heiz- und Warmwasserkosten</w:t>
      </w:r>
    </w:p>
    <w:p>
      <w:r>
        <w:t xml:space="preserve">Für Heizung und Warmwasser aus einer zentralen Anlage gilt die Heizkostenverordnung, auch gegen abweichende Vereinbarungen (§ 3 HeizkostenV). Beschlossen wird dann nur das Verhältnis innerhalb des erlaubten Rahmens. Ersetzen Sie Nummer 1 und 4 durch:</w:t>
      </w:r>
    </w:p>
    <w:p>
      <w:r>
        <w:t xml:space="preserve">„Die Kosten des Betriebs der zentralen Heizungsanlage werden ab dem Abrechnungszeitraum, der am </w:t>
      </w:r>
      <w:r>
        <w:rPr>
          <w:highlight w:val="yellow"/>
        </w:rPr>
        <w:t xml:space="preserve">[Datum]</w:t>
      </w:r>
      <w:r>
        <w:t xml:space="preserve"> beginnt, zu </w:t>
      </w:r>
      <w:r>
        <w:rPr>
          <w:highlight w:val="yellow"/>
        </w:rPr>
        <w:t xml:space="preserve">[Prozentsatz von 50 bis 70]</w:t>
      </w:r>
      <w:r>
        <w:t xml:space="preserve"> Prozent nach dem erfassten Wärmeverbrauch und zu </w:t>
      </w:r>
      <w:r>
        <w:rPr>
          <w:highlight w:val="yellow"/>
        </w:rPr>
        <w:t xml:space="preserve">[Restprozentsatz]</w:t>
      </w:r>
      <w:r>
        <w:t xml:space="preserve"> Prozent nach der Wohnfläche verteilt. Für die Kosten der Warmwasserversorgung gilt dasselbe Verhältnis.“</w:t>
      </w:r>
    </w:p>
    <w:p>
      <w:pPr>
        <w:spacing w:before="240" w:after="120"/>
      </w:pPr>
      <w:r>
        <w:rPr>
          <w:b/>
          <w:sz w:val="24"/>
        </w:rPr>
        <w:t xml:space="preserve">Hinweise zum Ausfüllen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Den Tagesordnungspunkt in der Einladung so ankündigen, dass die betroffenen Kosten erkennbar sind (§ 23 Abs. 2 WEG). In der Versammlung genügt die Mehrheit der abgegebenen Stimmen (§ 25 Abs. 1 WEG). Ohne Versammlung müssen alle Eigentümer in Textform zustimmen (§ 23 Abs. 3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Kosten genau benennen. Der Beschluss muss aus sich heraus verständlich sein, auch für spätere Käufer, die er ohne Eintragung im Grundbuch bindet (§ 10 Abs. 3 Satz 2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Nur für die Zukunft beschließen. Abgeschlossene Abrechnungszeiträume neu zu verteilen, ist grundsätzlich unzulässig (BGH, Urteil vom 9. Juli 2010, V ZR 202/09). Am sichersten ist der Beginn des nächsten Wirtschaftsjahres; bei Heizkosten ist eine Änderung nur zum Beginn eines Abrechnungszeitraums zulässig (§ 6 Abs. 4 HeizkostenV).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Einzelne Eigentümer stärker zu belasten, ist zulässig, wenn der neue Schlüssel den Gebrauch oder die Möglichkeit des Gebrauchs berücksichtigt (BGH, Urteil vom 22. März 2024, V ZR 81/23). Sieht die Gemeinschaftsordnung für eine Anlage wie die Tiefgarage eine eigene Kostentragung vor, braucht die Einbeziehung aller Eigentümer einen sachlichen Grund (BGH, Urteil vom 14. Februar 2025, V ZR 236/23).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Kosten baulicher Veränderungen verteilt § 21 WEG, nicht dieser Beschluss.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Umsetzen muss den Beschluss, wer die Gemeinschaft vertritt: der Verwalter, auch ein zum Verwalter bestellter Eigentümer (§ 26 WEG). Ohne Verwalter vertreten alle Eigentümer die Gemeinschaft gemeinsam (§ 9b Abs. 1 Satz 2 WEG). Eine neue Vereinbarung mit Messdienst oder Abrechnungsdienstleister unterschreiben dann alle, oder alle erteilen einem von ihnen gemeinsam eine schriftliche Vollmacht. Per Mehrheitsbeschluss lässt sich eine solche Vertretungsmacht nicht erteilen.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Den Beschluss mit Datum in die Beschluss-Sammlung eintragen (§ 24 Abs. 7 WEG). Wer ihn angreifen will, muss innerhalb eines Monats klagen (§ 45 WEG).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16 Abs. 2 Satz 2 WEG, § 25 Abs. 1 WEG · Erläuterungen: https://selbstverwalten.com/blog/umlageschluessel-weg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Beschluss zur Änderung des Umlageschlüssels</dc:title>
  <dc:creator>selbstverwalten.com</dc:creator>
  <dc:language>de-DE</dc:language>
  <dcterms:modified xsi:type="dcterms:W3CDTF">2026-10-06T00:00:00Z</dcterms:modified>
</cp:coreProperties>
</file>